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4E" w:rsidRDefault="00CA7AE4">
      <w:hyperlink r:id="rId5" w:history="1">
        <w:r w:rsidRPr="00543E79">
          <w:rPr>
            <w:rStyle w:val="Hyperlink"/>
          </w:rPr>
          <w:t>https://www.ecb.co.uk/governance/anti-doping</w:t>
        </w:r>
      </w:hyperlink>
      <w:r>
        <w:t xml:space="preserve"> </w:t>
      </w:r>
      <w:bookmarkStart w:id="0" w:name="_GoBack"/>
      <w:bookmarkEnd w:id="0"/>
    </w:p>
    <w:sectPr w:rsidR="0076704E" w:rsidSect="00A41548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E4"/>
    <w:rsid w:val="0076704E"/>
    <w:rsid w:val="00A41548"/>
    <w:rsid w:val="00CA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A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A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cb.co.uk/governance/anti-dop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RLOB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Lloyd</dc:creator>
  <cp:lastModifiedBy>Kerry Lloyd</cp:lastModifiedBy>
  <cp:revision>1</cp:revision>
  <dcterms:created xsi:type="dcterms:W3CDTF">2017-08-07T14:31:00Z</dcterms:created>
  <dcterms:modified xsi:type="dcterms:W3CDTF">2017-08-07T14:32:00Z</dcterms:modified>
</cp:coreProperties>
</file>